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center"/>
        <w:ind w:firstLine="708"/>
        <w:pStyle w:val="a"/>
        <w:rPr>
          <w:sz w:val="28"/>
          <w:i w:val="1"/>
        </w:rPr>
      </w:pPr>
      <w:r>
        <w:rPr>
          <w:sz w:val="28"/>
          <w:i w:val="1"/>
        </w:rPr>
        <w:t xml:space="preserve">Разрешите предложить вашему вниманию ряд рекомендаций от автора издания «Коррекция развития интеллекта дошкольников» Сиротюк А.Л.</w:t>
      </w:r>
    </w:p>
    <w:p>
      <w:pPr>
        <w:jc w:val="both"/>
        <w:ind w:firstLine="708"/>
        <w:pStyle w:val="a"/>
        <w:rPr>
          <w:sz w:val="28"/>
        </w:rPr>
      </w:pPr>
      <w:r>
        <w:rPr>
          <w:sz w:val="28"/>
        </w:rPr>
        <w:t xml:space="preserve">Самый благоприятный период  для развития интеллектуальных и творческих возможностей человека – от 3 до 9 лет, когда кора больших полушарий ещё окончательно не сформирована. Именно в этом возрасте необходимо развивать память, восприятие, мышление, внимание и речь. Часто взрослые заменяют </w:t>
      </w:r>
      <w:r>
        <w:rPr>
          <w:sz w:val="28"/>
          <w:i w:val="1"/>
        </w:rPr>
        <w:t xml:space="preserve">психологическое развитие ребёнка информационным,</w:t>
      </w:r>
      <w:r>
        <w:rPr>
          <w:sz w:val="28"/>
        </w:rPr>
        <w:t xml:space="preserve"> изучая математику, языки и т.д. преждевременное обучение ребёнка не допустимо, т.к. в результате может быть сформирована ММД (один участок мозга развивается быстрее за счёт другого). Это приводит в дальнейшем к неуспешности в обучении, плохой памяти, рассеянному вниманию, проблемам в эмоциональной сфере.</w:t>
      </w:r>
    </w:p>
    <w:p>
      <w:pPr>
        <w:jc w:val="both"/>
        <w:ind w:firstLine="708"/>
        <w:pStyle w:val="a"/>
        <w:rPr>
          <w:sz w:val="28"/>
        </w:rPr>
      </w:pPr>
      <w:r>
        <w:rPr>
          <w:sz w:val="28"/>
        </w:rPr>
        <w:t xml:space="preserve">Хотелось бы предупредить родителей об опасности чрезмерно раннего (до пяти с половиной лет) обучения </w:t>
      </w:r>
      <w:r>
        <w:rPr>
          <w:sz w:val="28"/>
          <w:i w:val="1"/>
        </w:rPr>
        <w:t xml:space="preserve">чтению, письму, математике, иностранному языку, шахматам, музыке по нотам, игре со сложными электронными устройствами.</w:t>
      </w:r>
      <w:r>
        <w:rPr>
          <w:sz w:val="28"/>
        </w:rPr>
        <w:t xml:space="preserve"> Может произойти ранняя и неправомерная стимуляция развития левого полушария головного мозга в ущерб правому – образному, творческому. В возрасте до шести лет должно доминировать именно образное мышление. Буквы, цифры, ноты, схемы вытесняют образы, подавляют образное мышление. Кроме того, раннее обучение может спровоцировать невроз.</w:t>
      </w:r>
    </w:p>
    <w:p>
      <w:pPr>
        <w:jc w:val="both"/>
        <w:ind w:firstLine="708"/>
        <w:pStyle w:val="a"/>
        <w:rPr>
          <w:sz w:val="28"/>
        </w:rPr>
      </w:pPr>
      <w:r>
        <w:rPr>
          <w:sz w:val="28"/>
        </w:rPr>
        <w:t xml:space="preserve">На данном этапе развития более полезно учить детей  правильно сидеть за столом, держать ручку и ориентироваться в пространстве. Когда начнётся письмо – новая и трудная для ребёнка деятельность, - делать это гораздо труднее.</w:t>
      </w:r>
    </w:p>
    <w:p>
      <w:pPr>
        <w:jc w:val="both"/>
        <w:ind w:firstLine="708"/>
        <w:pStyle w:val="a"/>
        <w:rPr>
          <w:sz w:val="28"/>
        </w:rPr>
      </w:pPr>
      <w:r>
        <w:rPr>
          <w:sz w:val="28"/>
        </w:rPr>
        <w:t xml:space="preserve">Даже у детей, поступающих в первый класс, ещё недостаточно развиты мышцы кисти руки, координация движений пальцев, предплечья и плечевой части пишущей руки. Дети этого возраста ещё плохо ориентируются в пространстве и на плоскости. Большинство из них путаются в различении правой и левой сторон тела. Наибольшие трудности выработка этого навыка  вызывает у леворуких детей. Умение различать правую и левую сторону – это важная предпосылка для многих видов обучения. Поэтому отработке этого навыка необходимо уделять достаточное количество времени, проводя занятия с ребёнком в виде различных игр и упражнений.</w:t>
      </w:r>
    </w:p>
    <w:p>
      <w:pPr>
        <w:jc w:val="both"/>
        <w:ind w:firstLine="708"/>
        <w:pStyle w:val="a"/>
        <w:rPr>
          <w:sz w:val="28"/>
        </w:rPr>
      </w:pPr>
      <w:r>
        <w:rPr>
          <w:sz w:val="28"/>
        </w:rPr>
        <w:t xml:space="preserve">Для отработки дифференциации правых и левых частей тела можно рекомендовать следующие упражнения:</w:t>
      </w:r>
    </w:p>
    <w:p>
      <w:pPr>
        <w:jc w:val="both"/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показать правую руку, затем левую. Если ребёнок не может назвать левую руку, взрослый называет её сам, а ребёнок повторяет;</w:t>
      </w:r>
    </w:p>
    <w:p>
      <w:pPr>
        <w:jc w:val="both"/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поднять то правую, то левую руку. Взять предмет то правой, то левой рукой;</w:t>
      </w:r>
    </w:p>
    <w:p>
      <w:pPr>
        <w:jc w:val="both"/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после уточнения речевых обозначений правой и левой руки можно приступить к различению других частей тела: правой и левой ноги, глаза, уха.</w:t>
      </w:r>
    </w:p>
    <w:p>
      <w:pPr>
        <w:jc w:val="both"/>
        <w:ind w:left="1428"/>
        <w:pStyle w:val="a3"/>
        <w:rPr>
          <w:sz w:val="28"/>
        </w:rPr>
      </w:pPr>
      <w:r>
        <w:rPr>
          <w:sz w:val="28"/>
        </w:rPr>
        <w:t xml:space="preserve">Можно предложить и более сложные задания: показать левой рукой правое ухо, показать правой рукой левую ногу и т.д. </w:t>
      </w:r>
    </w:p>
    <w:p>
      <w:pPr>
        <w:jc w:val="both"/>
        <w:pStyle w:val="a"/>
        <w:rPr>
          <w:sz w:val="28"/>
        </w:rPr>
      </w:pPr>
      <w:r>
        <w:rPr>
          <w:sz w:val="28"/>
        </w:rPr>
        <w:tab/>
        <w:t xml:space="preserve">Исследованиями учёных была подтверждена связь интеллектуального развития и пальцевой моторики. Уровень развития речи детей также находится в прямой зависимости от степени сформированности тонких движений рук. Для определения уровня развития речи детей первых лет жизни разработан следующий метод: ребёнка просят показать один пальчик, два пальчика и три. Дети, которым удаются изолированные движения пальцев – говорящие дети. Если движения напряжённые, пальцы сгибаются и разгибаются только вместе и не могут двигаться изолированно, то это неговорящие дети.  До тех пор, пока движения пальцев не станут свободными, развития речи и, следовательно, мышления добиться не удастся.  </w:t>
      </w:r>
    </w:p>
    <w:p>
      <w:pPr>
        <w:jc w:val="both"/>
        <w:ind w:firstLine="708"/>
        <w:pStyle w:val="a"/>
        <w:rPr>
          <w:sz w:val="28"/>
        </w:rPr>
      </w:pPr>
      <w:r>
        <w:rPr>
          <w:sz w:val="28"/>
        </w:rPr>
        <w:t xml:space="preserve">Раскрашивая любимые картинки, ребёнок учится держать в руке карандаш, используя при этом силу нажима. Это занятие тренирует мелкие мышцы руки, делает её движения сильными и координированными. При этом рекомендуется пользоваться цветными карандашами, а не фломастерами. Можно предложить ребёнку копировать понравившиеся рисунки на прозрачную бумагу.</w:t>
      </w:r>
    </w:p>
    <w:p>
      <w:pPr>
        <w:jc w:val="both"/>
        <w:ind w:firstLine="708"/>
        <w:pStyle w:val="a"/>
        <w:rPr>
          <w:sz w:val="28"/>
        </w:rPr>
      </w:pPr>
      <w:r>
        <w:rPr>
          <w:sz w:val="28"/>
        </w:rPr>
        <w:t xml:space="preserve">Нельзя забывать о регулярных занятиях с пластилином и глиной. Разминая, вылепливая пальчиками фигурки из этого материала, ребёнок развивает и укрепляет мелкие мышцы пальцев.</w:t>
      </w:r>
    </w:p>
    <w:p>
      <w:pPr>
        <w:jc w:val="both"/>
        <w:ind w:firstLine="708"/>
        <w:pStyle w:val="a"/>
        <w:rPr>
          <w:sz w:val="28"/>
        </w:rPr>
      </w:pPr>
      <w:r>
        <w:rPr>
          <w:sz w:val="28"/>
        </w:rPr>
        <w:t xml:space="preserve">Существует интересный способ развития пальцев руки – отщипывание. От листа бумаги кончиками пальцев отщипывают клочки и создают своего рода аппликацию.</w:t>
      </w:r>
    </w:p>
    <w:p>
      <w:pPr>
        <w:jc w:val="both"/>
        <w:ind w:firstLine="708"/>
        <w:pStyle w:val="a"/>
        <w:rPr>
          <w:sz w:val="28"/>
        </w:rPr>
      </w:pPr>
      <w:r>
        <w:rPr>
          <w:sz w:val="28"/>
        </w:rPr>
        <w:t xml:space="preserve">Кроме того, можно порекомендовать нанизывание бус на нитку, застёгивание и расстегивание пуговиц, кнопок, крючков.</w:t>
      </w:r>
    </w:p>
    <w:p>
      <w:pPr>
        <w:jc w:val="both"/>
        <w:ind w:firstLine="708"/>
        <w:pStyle w:val="a"/>
        <w:rPr>
          <w:sz w:val="28"/>
        </w:rPr>
      </w:pPr>
      <w:r>
        <w:rPr>
          <w:sz w:val="28"/>
        </w:rPr>
        <w:t xml:space="preserve">Одновременно с развитием моторных, мускульных возможностей пальцев руки ребёнка необходимо знакомить с образом той или иной буквы, создавая в памяти её модель. Для этого нужно из самой мелкой наждачной бумаги (или бархатной) вырезать буквы и наклеить их на лист картона. </w:t>
      </w:r>
      <w:r>
        <w:rPr>
          <w:sz w:val="28"/>
          <w:i w:val="1"/>
        </w:rPr>
        <w:t xml:space="preserve">Указательным пальцем ведущей руки</w:t>
      </w:r>
      <w:r>
        <w:rPr>
          <w:sz w:val="28"/>
        </w:rPr>
        <w:t xml:space="preserve"> ребёнок обводит контуры букв, запоминает их образы и элементы.</w:t>
      </w:r>
    </w:p>
    <w:p>
      <w:pPr>
        <w:jc w:val="both"/>
        <w:ind w:firstLine="708"/>
        <w:pStyle w:val="a"/>
        <w:rPr>
          <w:sz w:val="28"/>
        </w:rPr>
      </w:pPr>
      <w:r>
        <w:rPr>
          <w:sz w:val="28"/>
        </w:rPr>
        <w:t xml:space="preserve">Самомассаж рук является одним из видов пассивной гимнастики. Массаж оказывает общеукрепляющее действие на мышечную систему, повышает тонус, эластичность и сократительную способность мышц. Работоспособность утомлённой мышцы под влиянием массажа восстанавливается быстрее, чем при полном покое. При систематическом проведении массажа улучшаются функции рецепторов, проводящих путей, усиливаются рефлекторные связи коры головного мозга с мышцами и сосудами. Под влиянием массажа в рецепторах кожи и мышцах возникают импульсы, которые достигая коры головного мозга, оказывают тонизирующее воздействие на центральную нервную систему, в результате чего повышается её регулирующая роль в отношении всех систем и органов. Существуют следующие приёмы самомассажа: поглаживание, растирание, разминание, выжимание, активные и пассивные движения. Хорошую результативность показывает использование массажёров для рук.</w:t>
      </w:r>
    </w:p>
    <w:p>
      <w:pPr>
        <w:jc w:val="both"/>
        <w:ind w:firstLine="708"/>
        <w:pStyle w:val="a"/>
        <w:rPr>
          <w:sz w:val="28"/>
        </w:rPr>
      </w:pPr>
      <w:r>
        <w:rPr>
          <w:sz w:val="28"/>
        </w:rPr>
        <w:t xml:space="preserve">В комплекс входят упражнения трёх видов: самомассаж тыльной стороны кистей рук, самомассаж ладоней, самомассаж пальцев рук.</w:t>
      </w:r>
    </w:p>
    <w:p>
      <w:pPr>
        <w:jc w:val="both"/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Подушечки четырёх пальцев правой руки установите у оснований пальцев левой руки с тыльной стороны ладони. Пунктирными движениями смещайте кожу на 1 см вперёд-назад, постепенно продвигаясь к лучезапястному суставу («пунктирное» движение). Проделайте то же для другой руки.</w:t>
      </w:r>
    </w:p>
    <w:p>
      <w:pPr>
        <w:jc w:val="both"/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Кисть и предплечье левой руки расположите на столе. Ребром ладони правой руки имитируйте «пиление» по всем направлениям тыльной стороны левой ладони («прямолинейное» движение). Проделайте то же для другой руки.</w:t>
      </w:r>
    </w:p>
    <w:p>
      <w:pPr>
        <w:jc w:val="both"/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Кисть и предплечье левой руки  расположите на столе. Правой рукой сделайте массаж тыльной стороны ладони левой руки. Проделайте то же для правой руки.</w:t>
      </w:r>
    </w:p>
    <w:p>
      <w:pPr>
        <w:jc w:val="both"/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Костяшками сжатых в кулак пальцев правой руки двигайте вверх-вниз по ладони левой руки («прямолинейное» движение). Проделайте то же для правой руки.</w:t>
      </w:r>
    </w:p>
    <w:p>
      <w:pPr>
        <w:jc w:val="both"/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Фалангами сжатых в кулак пальцев производите движения по принципу «буравчика» на ладони массажируемой руки. Поменяйте руки.</w:t>
      </w:r>
    </w:p>
    <w:p>
      <w:pPr>
        <w:jc w:val="both"/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Самомассаж пальцев рук. Кисть и предплечье левой руки расположите на столе. Согнутыми указательным и средним пальцами правой руки делайте хватательные движения на пальцах левой руки («прямолинейное» движение). Проделайте то же для правой руки.</w:t>
      </w:r>
    </w:p>
    <w:p>
      <w:pPr>
        <w:jc w:val="both"/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Движения как при растирании замёрзших рук.</w:t>
      </w:r>
    </w:p>
    <w:p>
      <w:pPr>
        <w:jc w:val="both"/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Подушечку большого пальца  правой руки положите на тыльную сторону массируемой фаланги пальца левой руки. Остальные четыре пальца правой руки охватывают и поддерживают палец снизу. Массируйте «спиралевидными» движениями. Проделайте то же для правой руки.</w:t>
      </w:r>
    </w:p>
    <w:p>
      <w:pPr>
        <w:jc w:val="both"/>
        <w:ind w:left="1068"/>
        <w:pStyle w:val="a3"/>
        <w:rPr>
          <w:sz w:val="28"/>
        </w:rPr>
      </w:pPr>
    </w:p>
    <w:p>
      <w:pPr>
        <w:jc w:val="both"/>
        <w:ind w:left="1068" w:firstLine="708"/>
        <w:pStyle w:val="a3"/>
        <w:rPr>
          <w:sz w:val="28"/>
        </w:rPr>
      </w:pPr>
    </w:p>
    <w:sectPr>
      <w:pgSz w:w="11906" w:h="16838"/>
      <w:pgMar w:top="1134" w:bottom="1134" w:left="170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"/>
      <w:start w:val="1"/>
      <w:pPr>
        <w:ind w:left="1428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2148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868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3588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4308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5028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748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6468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7188" w:hanging="360"/>
      </w:pPr>
      <w:rPr>
        <w:rFonts w:hAnsi="Wingdings" w:ascii="Wingdings"/>
      </w:rPr>
    </w:lvl>
  </w:abstractNum>
  <w:abstractNum w:abstractNumId="2">
    <w:lvl w:ilvl="0">
      <w:numFmt w:val="decimal"/>
      <w:lvlText w:val="%1."/>
      <w:start w:val="1"/>
      <w:pPr>
        <w:ind w:left="1068" w:hanging="360"/>
      </w:pPr>
    </w:lvl>
    <w:lvl w:ilvl="1">
      <w:numFmt w:val="decimal"/>
      <w:lvlText w:val="%2."/>
      <w:start w:val="1"/>
      <w:pPr>
        <w:ind w:left="1788" w:hanging="360"/>
      </w:pPr>
    </w:lvl>
    <w:lvl w:ilvl="2">
      <w:numFmt w:val="decimal"/>
      <w:lvlText w:val="%3."/>
      <w:start w:val="1"/>
      <w:pPr>
        <w:ind w:left="2508" w:hanging="180"/>
      </w:pPr>
    </w:lvl>
    <w:lvl w:ilvl="3">
      <w:numFmt w:val="decimal"/>
      <w:lvlText w:val="%4."/>
      <w:start w:val="1"/>
      <w:pPr>
        <w:ind w:left="3228" w:hanging="360"/>
      </w:pPr>
    </w:lvl>
    <w:lvl w:ilvl="4">
      <w:numFmt w:val="decimal"/>
      <w:lvlText w:val="%5."/>
      <w:start w:val="1"/>
      <w:pPr>
        <w:ind w:left="3948" w:hanging="360"/>
      </w:pPr>
    </w:lvl>
    <w:lvl w:ilvl="5">
      <w:numFmt w:val="decimal"/>
      <w:lvlText w:val="%6."/>
      <w:start w:val="1"/>
      <w:pPr>
        <w:ind w:left="4668" w:hanging="180"/>
      </w:pPr>
    </w:lvl>
    <w:lvl w:ilvl="6">
      <w:numFmt w:val="decimal"/>
      <w:lvlText w:val="%7."/>
      <w:start w:val="1"/>
      <w:pPr>
        <w:ind w:left="5388" w:hanging="360"/>
      </w:pPr>
    </w:lvl>
    <w:lvl w:ilvl="7">
      <w:numFmt w:val="decimal"/>
      <w:lvlText w:val="%8."/>
      <w:start w:val="1"/>
      <w:pPr>
        <w:ind w:left="6108" w:hanging="360"/>
      </w:pPr>
    </w:lvl>
    <w:lvl w:ilvl="8">
      <w:numFmt w:val="decimal"/>
      <w:lvlText w:val="%9."/>
      <w:start w:val="1"/>
      <w:pPr>
        <w:ind w:left="6828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defaultTabStop width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libri" w:ascii="Calibri"/>
        <w:sz w:val="22"/>
      </w:rPr>
    </w:rPrDefault>
    <w:pPrDefault>
      <w:pPr>
        <w:spacing w:after="200" w:lineRule="auto" w:line="276.0"/>
      </w:pPr>
    </w:pPrDefault>
  </w:docDefaults>
  <w:style w:styleId="a" w:type="paragraph">
    <w:name w:val="Normal"/>
  </w:style>
  <w:style w:styleId="a3" w:type="paragraph">
    <w:name w:val="List Paragraph"/>
    <w:pPr>
      <w:ind w:left="720"/>
    </w:p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Документ Microsoft Office Word.docx</dc:title>
</cp:coreProperties>
</file>